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6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 Оренбургской области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«Об областном бюджете на 2023 год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на плановый период 2024 и 2025 годов»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№ </w:t>
      </w:r>
    </w:p>
    <w:p w:rsidR="00FE5E8E" w:rsidRDefault="00FE5E8E">
      <w:pPr>
        <w:pStyle w:val="a3"/>
        <w:ind w:right="-1"/>
        <w:jc w:val="both"/>
        <w:rPr>
          <w:color w:val="000000"/>
          <w:szCs w:val="28"/>
        </w:rPr>
      </w:pPr>
    </w:p>
    <w:p w:rsidR="00FE5E8E" w:rsidRDefault="00FE5E8E">
      <w:pPr>
        <w:pStyle w:val="a3"/>
        <w:ind w:right="-1"/>
        <w:jc w:val="both"/>
        <w:rPr>
          <w:color w:val="000000"/>
          <w:szCs w:val="28"/>
        </w:rPr>
      </w:pP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Направления государственной поддержки семьи и детей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Оренбургской области («Детский бюджет») 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2023 год и на плановый период 2024 и 2025 годов</w:t>
      </w:r>
    </w:p>
    <w:p w:rsidR="00FE5E8E" w:rsidRDefault="00FE5E8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«Детский бюджет» – это аккумулированный в областном бюджете объем бюджетных ассигнований на реализацию комплекса мероприятий по созданию благоприятных условий для каждого ребенка в Оренбургской области по его воспитанию, общему, дополнительному и профессиональному образованию, по использованию возможности для занятий спортом, по получению услуг в области здравоохранения, социального обслуживания детей, организации детского отдыха и оздоровления детей, временного трудоустройства несовершеннолетних. 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Система государственных финансов направлена на поддержку семьи, рождаемости, развитие подрастающего поколения. Применяется комплекс методов для содействия семьям с детьми, включая бесплатность и доступность образования, охрану здоровья матери и ребенка, жилищные и транспортные льготы, выплаты пособий и компенсаций.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Распределение бюджетных ассигнований, направляемых на государственную поддержку семьи и детей в Оренбургской области («Детский бюджет»), на 2023 год и на плановый период 2024 и 2025 годов представлено в таблице 1.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Государственная поддержка семьи и детей в Оренбургской области также осуществляется путем предоставления налоговых льгот и налоговых вычетов, что позволяет облегчить бремя налоговых обязательств.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Налоговые льготы по транспортному налогу и налоговые вычеты по налогу на доходы физических лиц, предоставляемые в рамках государственной поддержки семьи и детей в Оренбургской области, на 2023 год и на плановый период 2024 и 2025 годов представлены в таблице 2.</w:t>
      </w:r>
    </w:p>
    <w:p w:rsidR="00FE5E8E" w:rsidRDefault="00FE5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FE5E8E">
          <w:headerReference w:type="default" r:id="rId6"/>
          <w:pgSz w:w="11906" w:h="16838"/>
          <w:pgMar w:top="1134" w:right="851" w:bottom="1134" w:left="1701" w:header="709" w:footer="709" w:gutter="0"/>
          <w:pgNumType w:start="2"/>
          <w:cols w:space="720"/>
          <w:titlePg/>
        </w:sectPr>
      </w:pP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Таблица 1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приложения 6</w:t>
      </w:r>
    </w:p>
    <w:p w:rsidR="00FE5E8E" w:rsidRDefault="00FE5E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Распределение бюджетных ассигнований, направляемых на государственную</w:t>
      </w: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поддержку семьи и детей в Оренбургской области («Детский бюджет»),</w:t>
      </w:r>
    </w:p>
    <w:p w:rsidR="00FE5E8E" w:rsidRDefault="00996C3E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2023 год и на плановый период 2024 и 2025 годов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tbl>
      <w:tblPr>
        <w:tblW w:w="14986" w:type="dxa"/>
        <w:tblInd w:w="9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06"/>
        <w:gridCol w:w="3120"/>
        <w:gridCol w:w="1720"/>
        <w:gridCol w:w="1720"/>
        <w:gridCol w:w="1720"/>
      </w:tblGrid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  <w:tblHeader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RANGE!A4:F55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мероприятия (ЦСР)</w:t>
            </w:r>
            <w:bookmarkEnd w:id="0"/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ЦСР (код ЦСР)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1 232 411,8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293 942,5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293 942,5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1 N4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941 669,8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239 242,0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242 442,5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242 442,5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01 4 12 00000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33 844 833,5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33 984 447,6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28 426 248,2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42 864,9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86 730,8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4 113 300,3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5 360 663,8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287 081,0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140 605,4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113 132,9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104 034,4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131 071,8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247 342,2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E6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74 042,2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95 007,8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профессионального образования»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3 547 938,4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3 228 812,5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3 228 812,4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5 721 700,1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5 747 531,1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5 747 531,1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17 035 094,2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16 985 665,8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16 935 728,6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2 139 609,2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2 118 960,7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2 118 960,7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5 ПБ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898 007,0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10 230 190,7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7 743 433,2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7 384 103,1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1 P1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2 143 238,8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1 421 916,0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699 611,0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8 086 951,9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6 321 517,2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6 684 492,1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66 415,7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58 748,4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58 748,4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57 868,4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57 868,4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57 868,4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7 667,3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Приоритетный проект «Создание универсальной безбарьерной среды для инклюзивного образования детей-инвалидов»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 5 П8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7 284,7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7 284,7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7 284,7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7 284,7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7 284,7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7 284,7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304 933,3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463 856,5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96 141,9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1 A1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208 032,1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370 030,0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11 4 03 00000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43 911,2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43 111,2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41 411,2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11 4 06 00000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43 802,9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43 802,9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43 802,9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5 П3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9 187,1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6 912,4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10 927,8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612 738,4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483 132,9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483 132,9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14 4 05 00000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518 865,0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481 324,9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481 324,9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92 065,4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14 4 09 00000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6 800,0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345 167,3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127 156,0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128 887,0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«Монтаж и модернизация систем контроля и управлением доступом государственных организаций и учреждений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21 4 01 00000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241 163,7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123 999,0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125 730,0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21 4 04 00000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21 4 06 00000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5 ПБ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53 493,6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292 788,7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302 000,7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308 727,1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292 788,7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302 000,7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308 727,1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48 144,3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43 887,0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15 359,5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25 688,0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28 527,5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9 545,8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1 545,8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1 545,8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10 928,5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11 831,7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11 831,7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25 4 03 00000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</w:tr>
      <w:tr w:rsidR="00FE5E8E" w:rsidTr="00996C3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FE5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46 991 708,4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43 514 689,5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5E8E" w:rsidRDefault="00996C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37 209 375,3</w:t>
            </w:r>
          </w:p>
        </w:tc>
      </w:tr>
    </w:tbl>
    <w:p w:rsidR="00FE5E8E" w:rsidRDefault="00FE5E8E">
      <w:pPr>
        <w:spacing w:after="0" w:line="240" w:lineRule="auto"/>
        <w:ind w:right="-422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E5E8E" w:rsidRDefault="00FE5E8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E5E8E" w:rsidRDefault="00FE5E8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E5E8E" w:rsidRDefault="00FE5E8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82780" w:rsidRDefault="00482780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Таблица 2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приложения 6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Налоговые льготы по транспортному налогу и налоговые вычеты по налогу на доходы физических лиц,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предоставляемые в рамках государственной поддержки семьи и детей в Оренбургской области,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2023 год и на плановый период 2024 и 2025 годов</w:t>
      </w:r>
    </w:p>
    <w:p w:rsidR="00996C3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p w:rsidR="00FE5E8E" w:rsidRDefault="00FE5E8E">
      <w:pPr>
        <w:spacing w:after="0" w:line="240" w:lineRule="auto"/>
        <w:rPr>
          <w:color w:val="000000"/>
          <w:sz w:val="2"/>
          <w:szCs w:val="2"/>
        </w:rPr>
      </w:pPr>
    </w:p>
    <w:p w:rsidR="00FE5E8E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15160" w:type="dxa"/>
        <w:tblLook w:val="04A0" w:firstRow="1" w:lastRow="0" w:firstColumn="1" w:lastColumn="0" w:noHBand="0" w:noVBand="1"/>
      </w:tblPr>
      <w:tblGrid>
        <w:gridCol w:w="8755"/>
        <w:gridCol w:w="1735"/>
        <w:gridCol w:w="1559"/>
        <w:gridCol w:w="1559"/>
        <w:gridCol w:w="1552"/>
      </w:tblGrid>
      <w:tr w:rsidR="006F5253" w:rsidRPr="006F5253" w:rsidTr="0015149C">
        <w:trPr>
          <w:trHeight w:val="651"/>
        </w:trPr>
        <w:tc>
          <w:tcPr>
            <w:tcW w:w="8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 государственной поддержки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Количество налогопла-тельщиков</w:t>
            </w: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 налоговых льгот,</w:t>
            </w:r>
          </w:p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налоговых вычетов</w:t>
            </w:r>
          </w:p>
        </w:tc>
      </w:tr>
      <w:tr w:rsidR="006F5253" w:rsidRPr="006F5253" w:rsidTr="0015149C">
        <w:trPr>
          <w:trHeight w:val="295"/>
        </w:trPr>
        <w:tc>
          <w:tcPr>
            <w:tcW w:w="8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</w:tbl>
    <w:p w:rsidR="00FE5E8E" w:rsidRPr="006F5253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151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2"/>
        <w:gridCol w:w="1730"/>
        <w:gridCol w:w="1560"/>
        <w:gridCol w:w="1560"/>
        <w:gridCol w:w="1553"/>
      </w:tblGrid>
      <w:tr w:rsidR="006F5253" w:rsidRPr="006F5253" w:rsidTr="006F5253">
        <w:trPr>
          <w:cantSplit/>
          <w:trHeight w:val="20"/>
          <w:tblHeader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</w:t>
            </w:r>
            <w:r w:rsidRPr="006F52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Льгота по транспортному налогу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Один из родителей (усыновителей), попечителей, опекунов, приемных родителей многодетной семьи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9 433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33 063,0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33 063,0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33 063,0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textAlignment w:val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9 433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sz w:val="28"/>
                <w:szCs w:val="28"/>
              </w:rPr>
              <w:t>33 063,0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sz w:val="28"/>
                <w:szCs w:val="28"/>
              </w:rPr>
              <w:t>33 063,0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sz w:val="28"/>
                <w:szCs w:val="28"/>
              </w:rPr>
              <w:t>33 063,0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II</w:t>
            </w:r>
            <w:r w:rsidRPr="006F52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Доходы и налоговые вычеты по налогу на доходы физических лиц</w:t>
            </w:r>
            <w:r w:rsidRPr="006F5253">
              <w:rPr>
                <w:b/>
              </w:rPr>
              <w:br w:type="page"/>
            </w:r>
            <w:r w:rsidRPr="006F5253">
              <w:rPr>
                <w:b/>
              </w:rPr>
              <w:br w:type="page"/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4 8</w:t>
            </w: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127 539</w:t>
            </w:r>
            <w:r w:rsidRPr="006F5253">
              <w:rPr>
                <w:rFonts w:ascii="Times New Roman" w:hAnsi="Times New Roman"/>
                <w:sz w:val="28"/>
                <w:szCs w:val="28"/>
              </w:rPr>
              <w:t>,</w:t>
            </w: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127 539</w:t>
            </w:r>
            <w:r w:rsidRPr="006F5253">
              <w:rPr>
                <w:rFonts w:ascii="Times New Roman" w:hAnsi="Times New Roman"/>
                <w:sz w:val="28"/>
                <w:szCs w:val="28"/>
              </w:rPr>
              <w:t>,</w:t>
            </w: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127 539</w:t>
            </w:r>
            <w:r w:rsidRPr="006F5253">
              <w:rPr>
                <w:rFonts w:ascii="Times New Roman" w:hAnsi="Times New Roman"/>
                <w:sz w:val="28"/>
                <w:szCs w:val="28"/>
              </w:rPr>
              <w:t>,</w:t>
            </w: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186 794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2 113 935,3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2 113 935,3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2 113 935,3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130 175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1 501 663,9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1 501 663,9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1 501 663,9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31 930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949 734,7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949 734,7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949 734,7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2 773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247 732,1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247 732,1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247 732,1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6 332,5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6 332,5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6 332,5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5 109,4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5 109,4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5 109,4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19 826,1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19 826,1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19 826,1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4 886,4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4 886,4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4 886,4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6 342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152 831,7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152 831,7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152 831,7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12 188,9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12 188,9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12 188,9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2 364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57 813,0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57 813,0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57 813,0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4 936,4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4 936,4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4 936,4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46 192,0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46 192,0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46 192,0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8 371,3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8 371,3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8 371,3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13 608,3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13 608,3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13 608,3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2 687,6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2 687,6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2 687,6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2 240,0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2 240,0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2 240,0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506,8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506,8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506,8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1 542,0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1 542,0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1 542,0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bookmarkStart w:id="1" w:name="_GoBack"/>
            <w:bookmarkEnd w:id="1"/>
            <w:r w:rsidRPr="006F52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53,2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1 376,6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1 376,6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1 376,6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632,2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632,2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632,2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1 932,6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1 932,6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1 932,6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837,7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837,7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837,7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Сумма, уплаченная налогоплательщиком в налоговом периоде за свое обучение в образовательных учреждениях, за обучение брата (сестры) в возрасте до 24 лет по очной форме обучения в образовательных учреждениях - в размере фактически произведенных расходов на обучение с учетом ограничения, установленного пунктом 2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1 073,2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1 073,2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1 073,2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Сумма, уплаченная налогоплательщиком-родителем за обучение своих детей в возрасте до 24 лет, налогоплательщиком-опекуном (налогоплательщиком-попечителем) за обучение своих подопечных в возрасте до 18 лет по очной форме обучения в образовательных учреждениях, налогоплательщиком, осуществляющим обязанности опекуна или попечителя над гражданами, бывшими их подопечными, после прекращения опеки или попечительства в случаях оплаты налогоплательщиком обучения граждан в возрасте до 24 лет по очной форме обучения в образовательных учреждениях - в размере фактически произведенных расходов на обучение, но с учетом ограничения, установленного подпунктом 2 пункта 1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1 817,1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1 817,1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1 817,1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Вычет из 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4 730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81 734,2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81 734,2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81 734,2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textAlignment w:val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II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382 834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5 402 197,6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b/>
                <w:bCs/>
                <w:sz w:val="28"/>
                <w:szCs w:val="28"/>
              </w:rPr>
              <w:t>5 402 197,6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b/>
                <w:bCs/>
                <w:sz w:val="28"/>
                <w:szCs w:val="28"/>
              </w:rPr>
              <w:t>5 402 197,6</w:t>
            </w:r>
          </w:p>
        </w:tc>
      </w:tr>
    </w:tbl>
    <w:p w:rsidR="006F5253" w:rsidRDefault="006F525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sectPr w:rsidR="006F5253">
      <w:headerReference w:type="default" r:id="rId7"/>
      <w:pgSz w:w="16838" w:h="11906" w:orient="landscape"/>
      <w:pgMar w:top="1134" w:right="1134" w:bottom="851" w:left="1134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3E" w:rsidRDefault="00996C3E">
      <w:pPr>
        <w:spacing w:after="0" w:line="240" w:lineRule="auto"/>
      </w:pPr>
      <w:r>
        <w:separator/>
      </w:r>
    </w:p>
  </w:endnote>
  <w:endnote w:type="continuationSeparator" w:id="0">
    <w:p w:rsidR="00996C3E" w:rsidRDefault="00996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3E" w:rsidRDefault="00996C3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96C3E" w:rsidRDefault="00996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C3E" w:rsidRDefault="00996C3E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15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C3E" w:rsidRDefault="00996C3E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E2109B">
      <w:rPr>
        <w:rFonts w:ascii="Times New Roman" w:hAnsi="Times New Roman"/>
        <w:noProof/>
        <w:sz w:val="24"/>
        <w:szCs w:val="24"/>
      </w:rPr>
      <w:t>8</w:t>
    </w:r>
    <w:r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FE5E8E"/>
    <w:rsid w:val="00482780"/>
    <w:rsid w:val="006F5253"/>
    <w:rsid w:val="00996C3E"/>
    <w:rsid w:val="00E2109B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87126-6BF9-4DF9-8557-D1DC5AFE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Pr>
      <w:rFonts w:ascii="Times New Roman" w:hAnsi="Times New Roman"/>
      <w:sz w:val="28"/>
      <w:szCs w:val="22"/>
    </w:rPr>
  </w:style>
  <w:style w:type="paragraph" w:customStyle="1" w:styleId="ConsPlusNormal">
    <w:name w:val="ConsPlusNormal"/>
    <w:pPr>
      <w:autoSpaceDE w:val="0"/>
    </w:pPr>
    <w:rPr>
      <w:rFonts w:ascii="Arial" w:hAnsi="Arial" w:cs="Arial"/>
      <w:lang w:eastAsia="en-US"/>
    </w:rPr>
  </w:style>
  <w:style w:type="character" w:styleId="a4">
    <w:name w:val="Hyperlink"/>
    <w:rPr>
      <w:color w:val="0000FF"/>
      <w:u w:val="single"/>
    </w:rPr>
  </w:style>
  <w:style w:type="character" w:customStyle="1" w:styleId="a5">
    <w:name w:val="Текст выноски Знак"/>
    <w:rPr>
      <w:rFonts w:ascii="Segoe UI" w:hAnsi="Segoe UI"/>
      <w:sz w:val="18"/>
      <w:szCs w:val="18"/>
    </w:rPr>
  </w:style>
  <w:style w:type="paragraph" w:styleId="a6">
    <w:name w:val="Balloon Text"/>
    <w:basedOn w:val="a"/>
    <w:pPr>
      <w:spacing w:after="0" w:line="240" w:lineRule="auto"/>
    </w:pPr>
    <w:rPr>
      <w:rFonts w:ascii="Segoe UI" w:hAnsi="Segoe UI"/>
      <w:sz w:val="18"/>
      <w:szCs w:val="18"/>
    </w:rPr>
  </w:style>
  <w:style w:type="paragraph" w:styleId="a7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rPr>
      <w:sz w:val="22"/>
      <w:szCs w:val="22"/>
      <w:lang w:eastAsia="en-US"/>
    </w:rPr>
  </w:style>
  <w:style w:type="character" w:customStyle="1" w:styleId="a9">
    <w:name w:val="Нижний колонтитул Знак"/>
    <w:rPr>
      <w:sz w:val="22"/>
      <w:szCs w:val="22"/>
      <w:lang w:eastAsia="en-US"/>
    </w:rPr>
  </w:style>
  <w:style w:type="paragraph" w:styleId="aa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">
    <w:name w:val="Без интервала1"/>
    <w:rPr>
      <w:rFonts w:ascii="Times New Roman" w:hAnsi="Times New Roman"/>
      <w:sz w:val="28"/>
      <w:szCs w:val="22"/>
    </w:rPr>
  </w:style>
  <w:style w:type="character" w:styleId="ab">
    <w:name w:val="FollowedHyperlink"/>
    <w:rPr>
      <w:color w:val="800080"/>
      <w:u w:val="single"/>
    </w:rPr>
  </w:style>
  <w:style w:type="paragraph" w:customStyle="1" w:styleId="xl66">
    <w:name w:val="xl66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Гипертекстовая ссылка"/>
    <w:rPr>
      <w:color w:val="106BBE"/>
    </w:rPr>
  </w:style>
  <w:style w:type="character" w:styleId="ad">
    <w:name w:val="annotation reference"/>
    <w:rPr>
      <w:sz w:val="16"/>
      <w:szCs w:val="16"/>
    </w:rPr>
  </w:style>
  <w:style w:type="paragraph" w:styleId="ae">
    <w:name w:val="annotation text"/>
    <w:basedOn w:val="a"/>
    <w:rPr>
      <w:sz w:val="20"/>
      <w:szCs w:val="20"/>
    </w:rPr>
  </w:style>
  <w:style w:type="character" w:customStyle="1" w:styleId="af">
    <w:name w:val="Текст примечания Знак"/>
    <w:rPr>
      <w:lang w:eastAsia="en-US"/>
    </w:rPr>
  </w:style>
  <w:style w:type="paragraph" w:styleId="af0">
    <w:name w:val="annotation subject"/>
    <w:basedOn w:val="ae"/>
    <w:next w:val="ae"/>
    <w:rPr>
      <w:b/>
      <w:bCs/>
    </w:rPr>
  </w:style>
  <w:style w:type="character" w:customStyle="1" w:styleId="af1">
    <w:name w:val="Тема примечания Знак"/>
    <w:rPr>
      <w:b/>
      <w:bCs/>
      <w:lang w:eastAsia="en-US"/>
    </w:rPr>
  </w:style>
  <w:style w:type="paragraph" w:styleId="af2">
    <w:name w:val="Revision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2807</Words>
  <Characters>16003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Минфин области</cp:lastModifiedBy>
  <cp:revision>2</cp:revision>
  <cp:lastPrinted>2021-12-16T04:40:00Z</cp:lastPrinted>
  <dcterms:created xsi:type="dcterms:W3CDTF">2022-10-28T12:11:00Z</dcterms:created>
  <dcterms:modified xsi:type="dcterms:W3CDTF">2022-10-28T12:11:00Z</dcterms:modified>
</cp:coreProperties>
</file>